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225" w:afterAutospacing="0" w:line="420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广东省直司法行政系统事业单位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2019年公开招聘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（戒毒系统）拟聘用递补人员名单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</w:pPr>
    </w:p>
    <w:tbl>
      <w:tblPr>
        <w:tblStyle w:val="5"/>
        <w:tblW w:w="10155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630"/>
        <w:gridCol w:w="810"/>
        <w:gridCol w:w="570"/>
        <w:gridCol w:w="2040"/>
        <w:gridCol w:w="660"/>
        <w:gridCol w:w="660"/>
        <w:gridCol w:w="660"/>
        <w:gridCol w:w="66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代码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性别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笔试成绩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面试成绩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总成绩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广东省三水强制隔离戒毒所警务保障中心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黄贱胜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韶关学院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  <w:t>电子信息科学与技术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广东省三水强制隔离戒毒所警务保障中心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冯柏祥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预防医学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广东省南丰强制隔离戒毒所警务保障中心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中山大学新华学院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财务管理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广东省增城强制隔离戒毒所警务保障中心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吴帅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广西民族大学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数学与应用数学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广东省第二强制隔离戒毒所警务保障中心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陈新南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广州大学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会计学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C247C"/>
    <w:rsid w:val="0E0C2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2020-11-10T08:54:00Z</dcterms:created>
  <dc:creator>lenovo</dc:creator>
  <cp:lastModifiedBy>lenovo</cp:lastModifiedBy>
  <dcterms:modified xsi:type="dcterms:W3CDTF">2020-11-10T08:55:44Z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